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rtl w:val="0"/>
        </w:rPr>
        <w:t xml:space="preserve">St Martin’s C of E Primary School - Data </w:t>
      </w:r>
      <w:r w:rsidDel="00000000" w:rsidR="00000000" w:rsidRPr="00000000">
        <w:rPr>
          <w:b w:val="1"/>
          <w:sz w:val="20"/>
          <w:szCs w:val="20"/>
          <w:rtl w:val="0"/>
        </w:rPr>
        <w:t xml:space="preserve">Overview</w:t>
      </w:r>
      <w:r w:rsidDel="00000000" w:rsidR="00000000" w:rsidRPr="00000000">
        <w:rPr>
          <w:b w:val="1"/>
          <w:rtl w:val="0"/>
        </w:rPr>
        <w:t xml:space="preserve"> – July 2023   (</w:t>
      </w:r>
      <w:r w:rsidDel="00000000" w:rsidR="00000000" w:rsidRPr="00000000">
        <w:rPr>
          <w:b w:val="1"/>
          <w:highlight w:val="green"/>
          <w:rtl w:val="0"/>
        </w:rPr>
        <w:t xml:space="preserve">**%</w:t>
      </w:r>
      <w:r w:rsidDel="00000000" w:rsidR="00000000" w:rsidRPr="00000000">
        <w:rPr>
          <w:b w:val="1"/>
          <w:rtl w:val="0"/>
        </w:rPr>
        <w:t xml:space="preserve"> above Surrey/National average, </w:t>
      </w:r>
      <w:r w:rsidDel="00000000" w:rsidR="00000000" w:rsidRPr="00000000">
        <w:rPr>
          <w:b w:val="1"/>
          <w:highlight w:val="yellow"/>
          <w:rtl w:val="0"/>
        </w:rPr>
        <w:t xml:space="preserve">**%</w:t>
      </w:r>
      <w:r w:rsidDel="00000000" w:rsidR="00000000" w:rsidRPr="00000000">
        <w:rPr>
          <w:b w:val="1"/>
          <w:rtl w:val="0"/>
        </w:rPr>
        <w:t xml:space="preserve"> broadly in line with Surrey/ National)   </w:t>
      </w:r>
      <w:r w:rsidDel="00000000" w:rsidR="00000000" w:rsidRPr="00000000">
        <w:rPr>
          <w:rtl w:val="0"/>
        </w:rPr>
      </w:r>
    </w:p>
    <w:tbl>
      <w:tblPr>
        <w:tblStyle w:val="Table1"/>
        <w:tblW w:w="155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3119"/>
        <w:gridCol w:w="3118"/>
        <w:gridCol w:w="3119"/>
        <w:gridCol w:w="3119"/>
        <w:tblGridChange w:id="0">
          <w:tblGrid>
            <w:gridCol w:w="3114"/>
            <w:gridCol w:w="3119"/>
            <w:gridCol w:w="3118"/>
            <w:gridCol w:w="3119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EYFS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Cohort 45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2020 – Covid LOCKDOWN</w:t>
            </w:r>
          </w:p>
          <w:p w:rsidR="00000000" w:rsidDel="00000000" w:rsidP="00000000" w:rsidRDefault="00000000" w:rsidRPr="00000000" w14:paraId="0000000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Children were on track to achieve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2021 – Covid disruption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2022 – Covid disruption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 Martin’s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88.9%                             (40/45)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80%                                   (36/45)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83%                            (33/40)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87%</w:t>
            </w:r>
            <w:r w:rsidDel="00000000" w:rsidR="00000000" w:rsidRPr="00000000">
              <w:rPr>
                <w:b w:val="1"/>
                <w:rtl w:val="0"/>
              </w:rPr>
              <w:t xml:space="preserve">                              (39/45)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National average 67%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Surrey average     73%</w:t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Phonics Screening test – 2022 – 93% (Y1) (National average 75%), 0% (0/3) Y2 retakes, 2023 – 87% (Y1) (National average 79%, Surrey 82%), 67% (Y2 – 2/3),</w:t>
      </w:r>
    </w:p>
    <w:tbl>
      <w:tblPr>
        <w:tblStyle w:val="Table2"/>
        <w:tblW w:w="1558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1169"/>
        <w:gridCol w:w="1170"/>
        <w:gridCol w:w="1169"/>
        <w:gridCol w:w="1170"/>
        <w:gridCol w:w="1187"/>
        <w:gridCol w:w="1187"/>
        <w:gridCol w:w="1187"/>
        <w:gridCol w:w="1187"/>
        <w:gridCol w:w="24"/>
        <w:gridCol w:w="1163"/>
        <w:gridCol w:w="1187"/>
        <w:gridCol w:w="1187"/>
        <w:gridCol w:w="1188"/>
        <w:tblGridChange w:id="0">
          <w:tblGrid>
            <w:gridCol w:w="1413"/>
            <w:gridCol w:w="1169"/>
            <w:gridCol w:w="1170"/>
            <w:gridCol w:w="1169"/>
            <w:gridCol w:w="1170"/>
            <w:gridCol w:w="1187"/>
            <w:gridCol w:w="1187"/>
            <w:gridCol w:w="1187"/>
            <w:gridCol w:w="1187"/>
            <w:gridCol w:w="24"/>
            <w:gridCol w:w="1163"/>
            <w:gridCol w:w="1187"/>
            <w:gridCol w:w="1187"/>
            <w:gridCol w:w="11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(TA partly  informed by test)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(TA)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 (TA partly informed by test)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Cohort 45</w:t>
            </w:r>
          </w:p>
          <w:p w:rsidR="00000000" w:rsidDel="00000000" w:rsidP="00000000" w:rsidRDefault="00000000" w:rsidRPr="00000000" w14:paraId="00000022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EXS+/GDS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EXS+/GDS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EXS+/GDS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2023</w:t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EXS+/GDS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EXS+/GDS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EXS+/GDS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EXS+/GDS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2023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EXS+/GDS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EXS+/GDS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EXS+/GDS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EXS+/GDS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2023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EXS+/GDS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 Martin’s 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78%/33%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78%/38%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84%/42%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84%</w:t>
            </w:r>
            <w:r w:rsidDel="00000000" w:rsidR="00000000" w:rsidRPr="00000000">
              <w:rPr>
                <w:b w:val="1"/>
                <w:rtl w:val="0"/>
              </w:rPr>
              <w:t xml:space="preserve"> /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20%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73%/11%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56%/22%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78%/20%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80%</w:t>
            </w:r>
            <w:r w:rsidDel="00000000" w:rsidR="00000000" w:rsidRPr="00000000">
              <w:rPr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13%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78%/27%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73%/31%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82%/22%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91%/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Surrey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73%/25%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65%/11%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74%/20%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National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68%  19%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58%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60%/8%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69%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70%/16%</w:t>
            </w:r>
          </w:p>
        </w:tc>
      </w:tr>
    </w:tbl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highlight w:val="cyan"/>
          <w:rtl w:val="0"/>
        </w:rPr>
        <w:t xml:space="preserve">Combined EXS R, W, M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b w:val="1"/>
          <w:sz w:val="18"/>
          <w:szCs w:val="18"/>
          <w:rtl w:val="0"/>
        </w:rPr>
        <w:t xml:space="preserve">2022 – 76%  (National average 54 %),  2023 -</w:t>
      </w:r>
      <w:r w:rsidDel="00000000" w:rsidR="00000000" w:rsidRPr="00000000">
        <w:rPr>
          <w:b w:val="1"/>
          <w:sz w:val="18"/>
          <w:szCs w:val="18"/>
          <w:highlight w:val="green"/>
          <w:rtl w:val="0"/>
        </w:rPr>
        <w:t xml:space="preserve"> 78%</w:t>
      </w:r>
      <w:r w:rsidDel="00000000" w:rsidR="00000000" w:rsidRPr="00000000">
        <w:rPr>
          <w:b w:val="1"/>
          <w:sz w:val="18"/>
          <w:szCs w:val="18"/>
          <w:rtl w:val="0"/>
        </w:rPr>
        <w:t xml:space="preserve"> (National average 56%, Surrey 60%)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highlight w:val="cyan"/>
          <w:rtl w:val="0"/>
        </w:rPr>
        <w:t xml:space="preserve">Combined GDS R, W, M: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2022 - 7% (No national figures available), 2023</w:t>
      </w:r>
      <w:r w:rsidDel="00000000" w:rsidR="00000000" w:rsidRPr="00000000">
        <w:rPr>
          <w:b w:val="1"/>
          <w:sz w:val="18"/>
          <w:szCs w:val="18"/>
          <w:highlight w:val="green"/>
          <w:rtl w:val="0"/>
        </w:rPr>
        <w:t xml:space="preserve"> 9%</w:t>
      </w:r>
      <w:r w:rsidDel="00000000" w:rsidR="00000000" w:rsidRPr="00000000">
        <w:rPr>
          <w:b w:val="1"/>
          <w:sz w:val="18"/>
          <w:szCs w:val="18"/>
          <w:rtl w:val="0"/>
        </w:rPr>
        <w:t xml:space="preserve"> (National average 6%, Surrey 8%)</w:t>
      </w:r>
    </w:p>
    <w:tbl>
      <w:tblPr>
        <w:tblStyle w:val="Table3"/>
        <w:tblW w:w="1558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"/>
        <w:gridCol w:w="886"/>
        <w:gridCol w:w="887"/>
        <w:gridCol w:w="886"/>
        <w:gridCol w:w="890"/>
        <w:gridCol w:w="883"/>
        <w:gridCol w:w="887"/>
        <w:gridCol w:w="886"/>
        <w:gridCol w:w="887"/>
        <w:gridCol w:w="993"/>
        <w:gridCol w:w="992"/>
        <w:gridCol w:w="921"/>
        <w:gridCol w:w="922"/>
        <w:gridCol w:w="851"/>
        <w:gridCol w:w="925"/>
        <w:gridCol w:w="884"/>
        <w:gridCol w:w="884"/>
        <w:tblGridChange w:id="0">
          <w:tblGrid>
            <w:gridCol w:w="1124"/>
            <w:gridCol w:w="886"/>
            <w:gridCol w:w="887"/>
            <w:gridCol w:w="886"/>
            <w:gridCol w:w="890"/>
            <w:gridCol w:w="883"/>
            <w:gridCol w:w="887"/>
            <w:gridCol w:w="886"/>
            <w:gridCol w:w="887"/>
            <w:gridCol w:w="993"/>
            <w:gridCol w:w="992"/>
            <w:gridCol w:w="921"/>
            <w:gridCol w:w="922"/>
            <w:gridCol w:w="851"/>
            <w:gridCol w:w="925"/>
            <w:gridCol w:w="884"/>
            <w:gridCol w:w="8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KS2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(TA)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SPaG       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    </w:t>
            </w:r>
          </w:p>
        </w:tc>
      </w:tr>
      <w:tr>
        <w:trPr>
          <w:cantSplit w:val="0"/>
          <w:trHeight w:val="1097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Cohort 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7C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EXS+/GDS</w:t>
            </w:r>
          </w:p>
          <w:p w:rsidR="00000000" w:rsidDel="00000000" w:rsidP="00000000" w:rsidRDefault="00000000" w:rsidRPr="00000000" w14:paraId="0000007D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EXS+/GDS</w:t>
            </w:r>
          </w:p>
          <w:p w:rsidR="00000000" w:rsidDel="00000000" w:rsidP="00000000" w:rsidRDefault="00000000" w:rsidRPr="00000000" w14:paraId="0000008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82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EXS+/GDS</w:t>
            </w:r>
          </w:p>
          <w:p w:rsidR="00000000" w:rsidDel="00000000" w:rsidP="00000000" w:rsidRDefault="00000000" w:rsidRPr="00000000" w14:paraId="0000008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2023</w:t>
            </w:r>
          </w:p>
          <w:p w:rsidR="00000000" w:rsidDel="00000000" w:rsidP="00000000" w:rsidRDefault="00000000" w:rsidRPr="00000000" w14:paraId="0000008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EXS+/GDS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8A">
            <w:pPr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EXS+/GDS</w:t>
            </w:r>
          </w:p>
          <w:p w:rsidR="00000000" w:rsidDel="00000000" w:rsidP="00000000" w:rsidRDefault="00000000" w:rsidRPr="00000000" w14:paraId="0000008C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8E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EXS+/GDS</w:t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92">
            <w:pPr>
              <w:rPr>
                <w:b w:val="1"/>
                <w:color w:val="ff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EXS+/GDS</w:t>
            </w:r>
          </w:p>
          <w:p w:rsidR="00000000" w:rsidDel="00000000" w:rsidP="00000000" w:rsidRDefault="00000000" w:rsidRPr="00000000" w14:paraId="00000094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2023</w:t>
            </w:r>
          </w:p>
          <w:p w:rsidR="00000000" w:rsidDel="00000000" w:rsidP="00000000" w:rsidRDefault="00000000" w:rsidRPr="00000000" w14:paraId="00000096">
            <w:pPr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EXS+/GDS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99">
            <w:pPr>
              <w:rPr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EXS+GDS</w:t>
            </w:r>
          </w:p>
          <w:p w:rsidR="00000000" w:rsidDel="00000000" w:rsidP="00000000" w:rsidRDefault="00000000" w:rsidRPr="00000000" w14:paraId="0000009B">
            <w:pPr>
              <w:rPr>
                <w:b w:val="1"/>
                <w:color w:val="ff000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9D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EXS+/GDS</w:t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A1">
            <w:pPr>
              <w:rPr>
                <w:b w:val="1"/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EXS+/GDS</w:t>
            </w:r>
          </w:p>
          <w:p w:rsidR="00000000" w:rsidDel="00000000" w:rsidP="00000000" w:rsidRDefault="00000000" w:rsidRPr="00000000" w14:paraId="000000A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2023</w:t>
            </w:r>
          </w:p>
          <w:p w:rsidR="00000000" w:rsidDel="00000000" w:rsidP="00000000" w:rsidRDefault="00000000" w:rsidRPr="00000000" w14:paraId="000000A5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EXS+/GDS</w:t>
            </w:r>
          </w:p>
          <w:p w:rsidR="00000000" w:rsidDel="00000000" w:rsidP="00000000" w:rsidRDefault="00000000" w:rsidRPr="00000000" w14:paraId="000000A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A9">
            <w:pPr>
              <w:rPr>
                <w:color w:val="ff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EXS+GDS</w:t>
            </w:r>
          </w:p>
          <w:p w:rsidR="00000000" w:rsidDel="00000000" w:rsidP="00000000" w:rsidRDefault="00000000" w:rsidRPr="00000000" w14:paraId="000000A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AD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EXS+/GDS</w:t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B1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EXS+/GDS</w:t>
            </w:r>
          </w:p>
          <w:p w:rsidR="00000000" w:rsidDel="00000000" w:rsidP="00000000" w:rsidRDefault="00000000" w:rsidRPr="00000000" w14:paraId="000000B3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2023</w:t>
            </w:r>
          </w:p>
          <w:p w:rsidR="00000000" w:rsidDel="00000000" w:rsidP="00000000" w:rsidRDefault="00000000" w:rsidRPr="00000000" w14:paraId="000000B5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EXS+/GDS</w:t>
            </w:r>
          </w:p>
          <w:p w:rsidR="00000000" w:rsidDel="00000000" w:rsidP="00000000" w:rsidRDefault="00000000" w:rsidRPr="00000000" w14:paraId="000000B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 Martin’s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88%/51%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85%/50%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82%/44%</w:t>
            </w:r>
          </w:p>
          <w:p w:rsidR="00000000" w:rsidDel="00000000" w:rsidP="00000000" w:rsidRDefault="00000000" w:rsidRPr="00000000" w14:paraId="000000B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108</w:t>
            </w:r>
          </w:p>
          <w:p w:rsidR="00000000" w:rsidDel="00000000" w:rsidP="00000000" w:rsidRDefault="00000000" w:rsidRPr="00000000" w14:paraId="000000B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green"/>
                <w:rtl w:val="0"/>
              </w:rPr>
              <w:t xml:space="preserve">87%/57%</w:t>
            </w:r>
          </w:p>
          <w:p w:rsidR="00000000" w:rsidDel="00000000" w:rsidP="00000000" w:rsidRDefault="00000000" w:rsidRPr="00000000" w14:paraId="000000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Includes 1 child who did not sit the test)</w:t>
            </w:r>
          </w:p>
          <w:p w:rsidR="00000000" w:rsidDel="00000000" w:rsidP="00000000" w:rsidRDefault="00000000" w:rsidRPr="00000000" w14:paraId="000000C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85%/31%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68%/25%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77%/26%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green"/>
                <w:rtl w:val="0"/>
              </w:rPr>
              <w:t xml:space="preserve">85%/33%</w:t>
            </w:r>
          </w:p>
          <w:p w:rsidR="00000000" w:rsidDel="00000000" w:rsidP="00000000" w:rsidRDefault="00000000" w:rsidRPr="00000000" w14:paraId="000000C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Includes 1 child who did not sit the test)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92%/36%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75%/43%</w:t>
            </w:r>
          </w:p>
          <w:p w:rsidR="00000000" w:rsidDel="00000000" w:rsidP="00000000" w:rsidRDefault="00000000" w:rsidRPr="00000000" w14:paraId="000000C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106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b w:val="1"/>
                <w:sz w:val="16"/>
                <w:szCs w:val="16"/>
                <w:highlight w:val="green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green"/>
                <w:rtl w:val="0"/>
              </w:rPr>
              <w:t xml:space="preserve">85%/55%</w:t>
            </w:r>
          </w:p>
          <w:p w:rsidR="00000000" w:rsidDel="00000000" w:rsidP="00000000" w:rsidRDefault="00000000" w:rsidRPr="00000000" w14:paraId="000000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Includes 1 child who did not sit the test)</w:t>
            </w:r>
          </w:p>
          <w:p w:rsidR="00000000" w:rsidDel="00000000" w:rsidP="00000000" w:rsidRDefault="00000000" w:rsidRPr="00000000" w14:paraId="000000C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88%/32%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78%/30%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69%/30%</w:t>
            </w:r>
          </w:p>
          <w:p w:rsidR="00000000" w:rsidDel="00000000" w:rsidP="00000000" w:rsidRDefault="00000000" w:rsidRPr="00000000" w14:paraId="000000D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104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green"/>
                <w:rtl w:val="0"/>
              </w:rPr>
              <w:t xml:space="preserve">85%/38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%</w:t>
            </w:r>
          </w:p>
          <w:p w:rsidR="00000000" w:rsidDel="00000000" w:rsidP="00000000" w:rsidRDefault="00000000" w:rsidRPr="00000000" w14:paraId="000000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Includes 1 child who did not sit the test)</w:t>
            </w:r>
          </w:p>
          <w:p w:rsidR="00000000" w:rsidDel="00000000" w:rsidP="00000000" w:rsidRDefault="00000000" w:rsidRPr="00000000" w14:paraId="000000D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Surrey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79%/37%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73%/16%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77%/36%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77%/29%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National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line="3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75%/</w:t>
            </w:r>
          </w:p>
          <w:p w:rsidR="00000000" w:rsidDel="00000000" w:rsidP="00000000" w:rsidRDefault="00000000" w:rsidRPr="00000000" w14:paraId="000000E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105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73%/29%</w:t>
            </w:r>
          </w:p>
          <w:p w:rsidR="00000000" w:rsidDel="00000000" w:rsidP="00000000" w:rsidRDefault="00000000" w:rsidRPr="00000000" w14:paraId="000000E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105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69%/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71%/13%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72%</w:t>
            </w:r>
          </w:p>
          <w:p w:rsidR="00000000" w:rsidDel="00000000" w:rsidP="00000000" w:rsidRDefault="00000000" w:rsidRPr="00000000" w14:paraId="000000F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105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72%/30</w:t>
            </w:r>
          </w:p>
          <w:p w:rsidR="00000000" w:rsidDel="00000000" w:rsidP="00000000" w:rsidRDefault="00000000" w:rsidRPr="00000000" w14:paraId="000000F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105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71%/</w:t>
            </w:r>
          </w:p>
          <w:p w:rsidR="00000000" w:rsidDel="00000000" w:rsidP="00000000" w:rsidRDefault="00000000" w:rsidRPr="00000000" w14:paraId="000000F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104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73%/24%</w:t>
            </w:r>
          </w:p>
          <w:p w:rsidR="00000000" w:rsidDel="00000000" w:rsidP="00000000" w:rsidRDefault="00000000" w:rsidRPr="00000000" w14:paraId="0000010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104</w:t>
            </w:r>
          </w:p>
        </w:tc>
      </w:tr>
    </w:tbl>
    <w:p w:rsidR="00000000" w:rsidDel="00000000" w:rsidP="00000000" w:rsidRDefault="00000000" w:rsidRPr="00000000" w14:paraId="000001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highlight w:val="cyan"/>
          <w:rtl w:val="0"/>
        </w:rPr>
        <w:t xml:space="preserve">Combined EXS R, W, M</w:t>
      </w:r>
      <w:r w:rsidDel="00000000" w:rsidR="00000000" w:rsidRPr="00000000">
        <w:rPr>
          <w:highlight w:val="cyan"/>
          <w:rtl w:val="0"/>
        </w:rPr>
        <w:t xml:space="preserve"> 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2022 – 61% (National average 59%) , 2023 – </w:t>
      </w:r>
      <w:r w:rsidDel="00000000" w:rsidR="00000000" w:rsidRPr="00000000">
        <w:rPr>
          <w:b w:val="1"/>
          <w:sz w:val="18"/>
          <w:szCs w:val="18"/>
          <w:highlight w:val="green"/>
          <w:rtl w:val="0"/>
        </w:rPr>
        <w:t xml:space="preserve">80%</w:t>
      </w:r>
      <w:r w:rsidDel="00000000" w:rsidR="00000000" w:rsidRPr="00000000">
        <w:rPr>
          <w:b w:val="1"/>
          <w:sz w:val="18"/>
          <w:szCs w:val="18"/>
          <w:rtl w:val="0"/>
        </w:rPr>
        <w:t xml:space="preserve"> (National average 59%, Surrey 64%)                     </w:t>
      </w:r>
      <w:r w:rsidDel="00000000" w:rsidR="00000000" w:rsidRPr="00000000">
        <w:rPr>
          <w:b w:val="1"/>
          <w:sz w:val="20"/>
          <w:szCs w:val="20"/>
          <w:highlight w:val="cyan"/>
          <w:rtl w:val="0"/>
        </w:rPr>
        <w:t xml:space="preserve">  Progress Scores </w:t>
      </w:r>
      <w:r w:rsidDel="00000000" w:rsidR="00000000" w:rsidRPr="00000000">
        <w:rPr>
          <w:b w:val="1"/>
          <w:sz w:val="20"/>
          <w:szCs w:val="20"/>
          <w:rtl w:val="0"/>
        </w:rPr>
        <w:t xml:space="preserve"> - Reading +2.0, SPaG +1.6, Maths -0.1,</w:t>
      </w:r>
    </w:p>
    <w:p w:rsidR="00000000" w:rsidDel="00000000" w:rsidP="00000000" w:rsidRDefault="00000000" w:rsidRPr="00000000" w14:paraId="00000104">
      <w:pPr>
        <w:rPr>
          <w:b w:val="1"/>
          <w:sz w:val="18"/>
          <w:szCs w:val="18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highlight w:val="cyan"/>
          <w:rtl w:val="0"/>
        </w:rPr>
        <w:t xml:space="preserve">Combined GDS R,W,M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2022-  13% (No national figures available), 2023 – 23% (National average 8%, Surrey 10%.)</w:t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bx9zZ/Zq7V5Jo1r38ae2E3jXeg==">CgMxLjAyCWguMzBqMHpsbDIIaC5namRneHM4AHIhMW1rZFR2cmQ3Qk5qZmdraUxBVEJmSEg1MXgtaGpxdnAt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